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06"/>
      </w:tblGrid>
      <w:tr w:rsidR="00C33889" w14:paraId="1BF660A5" w14:textId="77777777">
        <w:tblPrEx>
          <w:tblCellMar>
            <w:top w:w="0" w:type="dxa"/>
            <w:bottom w:w="0" w:type="dxa"/>
          </w:tblCellMar>
        </w:tblPrEx>
        <w:tc>
          <w:tcPr>
            <w:tcW w:w="11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300" w:type="dxa"/>
              <w:left w:w="900" w:type="dxa"/>
              <w:bottom w:w="220" w:type="dxa"/>
              <w:right w:w="900" w:type="dxa"/>
            </w:tcMar>
          </w:tcPr>
          <w:p w14:paraId="084FC4B4" w14:textId="77777777" w:rsidR="00C33889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52"/>
                <w:szCs w:val="52"/>
              </w:rPr>
              <w:t>GLASDON FALCAO</w:t>
            </w:r>
          </w:p>
          <w:p w14:paraId="7739D387" w14:textId="483E410A" w:rsidR="00C33889" w:rsidRPr="0057695B" w:rsidRDefault="00000000">
            <w:pPr>
              <w:spacing w:before="40" w:after="30"/>
            </w:pPr>
            <w:r w:rsidRPr="0057695B">
              <w:rPr>
                <w:rFonts w:ascii="Calibri" w:eastAsia="Calibri" w:hAnsi="Calibri" w:cs="Calibri"/>
                <w:color w:val="AACCEE"/>
                <w:sz w:val="21"/>
                <w:szCs w:val="21"/>
              </w:rPr>
              <w:t xml:space="preserve">Senior Business Analyst </w:t>
            </w:r>
            <w:r w:rsidR="0057695B">
              <w:rPr>
                <w:rFonts w:ascii="Calibri" w:eastAsia="Calibri" w:hAnsi="Calibri" w:cs="Calibri"/>
                <w:color w:val="AACCEE"/>
                <w:sz w:val="21"/>
                <w:szCs w:val="21"/>
              </w:rPr>
              <w:t xml:space="preserve">/ </w:t>
            </w:r>
            <w:r w:rsidR="0032407A">
              <w:rPr>
                <w:rFonts w:ascii="Calibri" w:eastAsia="Calibri" w:hAnsi="Calibri" w:cs="Calibri"/>
                <w:color w:val="AACCEE"/>
                <w:sz w:val="21"/>
                <w:szCs w:val="21"/>
              </w:rPr>
              <w:t>S</w:t>
            </w:r>
            <w:r w:rsidR="0057695B">
              <w:rPr>
                <w:rFonts w:ascii="Calibri" w:eastAsia="Calibri" w:hAnsi="Calibri" w:cs="Calibri"/>
                <w:color w:val="AACCEE"/>
                <w:sz w:val="21"/>
                <w:szCs w:val="21"/>
              </w:rPr>
              <w:t>PM</w:t>
            </w:r>
            <w:r w:rsidRPr="0057695B">
              <w:rPr>
                <w:rFonts w:ascii="Calibri" w:eastAsia="Calibri" w:hAnsi="Calibri" w:cs="Calibri"/>
                <w:color w:val="AACCEE"/>
                <w:sz w:val="21"/>
                <w:szCs w:val="21"/>
              </w:rPr>
              <w:t xml:space="preserve"> </w:t>
            </w:r>
            <w:proofErr w:type="gramStart"/>
            <w:r w:rsidRPr="0057695B">
              <w:rPr>
                <w:rFonts w:ascii="Calibri" w:eastAsia="Calibri" w:hAnsi="Calibri" w:cs="Calibri"/>
                <w:color w:val="AACCEE"/>
                <w:sz w:val="21"/>
                <w:szCs w:val="21"/>
              </w:rPr>
              <w:t>·  GenAI</w:t>
            </w:r>
            <w:proofErr w:type="gramEnd"/>
            <w:r w:rsidRPr="0057695B">
              <w:rPr>
                <w:rFonts w:ascii="Calibri" w:eastAsia="Calibri" w:hAnsi="Calibri" w:cs="Calibri"/>
                <w:color w:val="AACCEE"/>
                <w:sz w:val="21"/>
                <w:szCs w:val="21"/>
              </w:rPr>
              <w:t xml:space="preserve"> Enablement </w:t>
            </w:r>
            <w:proofErr w:type="gramStart"/>
            <w:r w:rsidRPr="0057695B">
              <w:rPr>
                <w:rFonts w:ascii="Calibri" w:eastAsia="Calibri" w:hAnsi="Calibri" w:cs="Calibri"/>
                <w:color w:val="AACCEE"/>
                <w:sz w:val="21"/>
                <w:szCs w:val="21"/>
              </w:rPr>
              <w:t>Specialist  ·</w:t>
            </w:r>
            <w:proofErr w:type="gramEnd"/>
            <w:r w:rsidRPr="0057695B">
              <w:rPr>
                <w:rFonts w:ascii="Calibri" w:eastAsia="Calibri" w:hAnsi="Calibri" w:cs="Calibri"/>
                <w:color w:val="AACCEE"/>
                <w:sz w:val="21"/>
                <w:szCs w:val="21"/>
              </w:rPr>
              <w:t xml:space="preserve">  Digital Transformation Leader</w:t>
            </w:r>
          </w:p>
          <w:p w14:paraId="0074CD58" w14:textId="1D7A4884" w:rsidR="00C33889" w:rsidRDefault="00000000" w:rsidP="0057695B">
            <w:pPr>
              <w:pStyle w:val="ListParagraph"/>
              <w:numPr>
                <w:ilvl w:val="0"/>
                <w:numId w:val="3"/>
              </w:numPr>
              <w:ind w:left="518"/>
            </w:pPr>
            <w:r w:rsidRPr="0057695B">
              <w:rPr>
                <w:rFonts w:ascii="Calibri" w:eastAsia="Calibri" w:hAnsi="Calibri" w:cs="Calibri"/>
                <w:color w:val="7AAED6"/>
                <w:sz w:val="17"/>
                <w:szCs w:val="17"/>
              </w:rPr>
              <w:t xml:space="preserve">McKinnon VIC  </w:t>
            </w:r>
            <w:r w:rsidR="0057695B">
              <w:rPr>
                <w:rFonts w:ascii="Calibri" w:eastAsia="Calibri" w:hAnsi="Calibri" w:cs="Calibri"/>
                <w:color w:val="7AAED6"/>
                <w:sz w:val="17"/>
                <w:szCs w:val="17"/>
              </w:rPr>
              <w:t xml:space="preserve"> - </w:t>
            </w:r>
            <w:r w:rsidRPr="0057695B">
              <w:rPr>
                <w:rFonts w:ascii="Calibri" w:eastAsia="Calibri" w:hAnsi="Calibri" w:cs="Calibri"/>
                <w:color w:val="7AAED6"/>
                <w:sz w:val="17"/>
                <w:szCs w:val="17"/>
              </w:rPr>
              <w:t xml:space="preserve">0452 417 297  </w:t>
            </w:r>
            <w:r w:rsidR="0057695B">
              <w:rPr>
                <w:rFonts w:ascii="Calibri" w:eastAsia="Calibri" w:hAnsi="Calibri" w:cs="Calibri"/>
                <w:color w:val="7AAED6"/>
                <w:sz w:val="17"/>
                <w:szCs w:val="17"/>
              </w:rPr>
              <w:t xml:space="preserve"> - </w:t>
            </w:r>
            <w:r w:rsidRPr="0057695B">
              <w:rPr>
                <w:rFonts w:ascii="Calibri" w:eastAsia="Calibri" w:hAnsi="Calibri" w:cs="Calibri"/>
                <w:color w:val="7AAED6"/>
                <w:sz w:val="17"/>
                <w:szCs w:val="17"/>
              </w:rPr>
              <w:t xml:space="preserve">glasdon@outlook.com.au  </w:t>
            </w:r>
            <w:r w:rsidR="0057695B">
              <w:rPr>
                <w:rFonts w:ascii="Calibri" w:eastAsia="Calibri" w:hAnsi="Calibri" w:cs="Calibri"/>
                <w:color w:val="7AAED6"/>
                <w:sz w:val="17"/>
                <w:szCs w:val="17"/>
              </w:rPr>
              <w:t xml:space="preserve"> - </w:t>
            </w:r>
            <w:r w:rsidRPr="0057695B">
              <w:rPr>
                <w:rFonts w:ascii="Calibri" w:eastAsia="Calibri" w:hAnsi="Calibri" w:cs="Calibri"/>
                <w:color w:val="7AAED6"/>
                <w:sz w:val="17"/>
                <w:szCs w:val="17"/>
              </w:rPr>
              <w:t>inkedin.com/in/</w:t>
            </w:r>
            <w:proofErr w:type="spellStart"/>
            <w:r w:rsidRPr="0057695B">
              <w:rPr>
                <w:rFonts w:ascii="Calibri" w:eastAsia="Calibri" w:hAnsi="Calibri" w:cs="Calibri"/>
                <w:color w:val="7AAED6"/>
                <w:sz w:val="17"/>
                <w:szCs w:val="17"/>
              </w:rPr>
              <w:t>glasdonfalcao</w:t>
            </w:r>
            <w:proofErr w:type="spellEnd"/>
            <w:r w:rsidR="00145631">
              <w:rPr>
                <w:rFonts w:ascii="Calibri" w:eastAsia="Calibri" w:hAnsi="Calibri" w:cs="Calibri"/>
                <w:color w:val="7AAED6"/>
                <w:sz w:val="17"/>
                <w:szCs w:val="17"/>
              </w:rPr>
              <w:t xml:space="preserve"> </w:t>
            </w:r>
          </w:p>
        </w:tc>
      </w:tr>
      <w:tr w:rsidR="00C33889" w14:paraId="7EF881C2" w14:textId="77777777">
        <w:tblPrEx>
          <w:tblCellMar>
            <w:top w:w="0" w:type="dxa"/>
            <w:bottom w:w="0" w:type="dxa"/>
          </w:tblCellMar>
        </w:tblPrEx>
        <w:tc>
          <w:tcPr>
            <w:tcW w:w="11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50" w:type="dxa"/>
              <w:left w:w="0" w:type="dxa"/>
              <w:bottom w:w="50" w:type="dxa"/>
              <w:right w:w="0" w:type="dxa"/>
            </w:tcMar>
          </w:tcPr>
          <w:p w14:paraId="55E64BD8" w14:textId="77777777" w:rsidR="00C33889" w:rsidRDefault="00C33889"/>
        </w:tc>
      </w:tr>
      <w:tr w:rsidR="00C33889" w14:paraId="0DEDDF23" w14:textId="77777777">
        <w:tblPrEx>
          <w:tblCellMar>
            <w:top w:w="0" w:type="dxa"/>
            <w:bottom w:w="0" w:type="dxa"/>
          </w:tblCellMar>
        </w:tblPrEx>
        <w:tc>
          <w:tcPr>
            <w:tcW w:w="119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0" w:type="dxa"/>
              <w:left w:w="900" w:type="dxa"/>
              <w:bottom w:w="200" w:type="dxa"/>
              <w:right w:w="900" w:type="dxa"/>
            </w:tcMar>
          </w:tcPr>
          <w:p w14:paraId="1E96E15F" w14:textId="77777777" w:rsidR="00C33889" w:rsidRPr="00BE660B" w:rsidRDefault="00000000">
            <w:pPr>
              <w:spacing w:after="200"/>
              <w:rPr>
                <w:color w:val="000000" w:themeColor="text1"/>
              </w:rPr>
            </w:pPr>
            <w:r w:rsidRPr="00BE660B">
              <w:rPr>
                <w:rFonts w:ascii="Calibri" w:eastAsia="Calibri" w:hAnsi="Calibri" w:cs="Calibri"/>
                <w:color w:val="000000" w:themeColor="text1"/>
              </w:rPr>
              <w:t>27 May 2026</w:t>
            </w:r>
          </w:p>
          <w:p w14:paraId="1D50B096" w14:textId="77777777" w:rsidR="00C33889" w:rsidRPr="00BE660B" w:rsidRDefault="00000000">
            <w:pPr>
              <w:spacing w:after="200"/>
              <w:rPr>
                <w:color w:val="000000" w:themeColor="text1"/>
              </w:rPr>
            </w:pPr>
            <w:r w:rsidRPr="00BE660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Dear Hiring Manager,</w:t>
            </w:r>
          </w:p>
          <w:p w14:paraId="3B933160" w14:textId="3C8973AD" w:rsidR="00C33889" w:rsidRPr="00BE660B" w:rsidRDefault="00000000">
            <w:pPr>
              <w:spacing w:after="180"/>
              <w:jc w:val="both"/>
              <w:rPr>
                <w:color w:val="000000" w:themeColor="text1"/>
              </w:rPr>
            </w:pPr>
            <w:r w:rsidRPr="00BE660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 am writing to express my strong interest in your Business Analyst</w:t>
            </w:r>
            <w:r w:rsidR="00AB741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-</w:t>
            </w:r>
            <w:r w:rsidRPr="00BE660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Generative AI opportunity. With over 20 years of experience </w:t>
            </w:r>
            <w:r w:rsidR="00CB77AD" w:rsidRPr="00BE660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which includes business analysis</w:t>
            </w:r>
            <w:r w:rsidR="00CB77AD" w:rsidRPr="00BE660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and digital transformation</w:t>
            </w:r>
            <w:r w:rsidR="00CB77AD" w:rsidRPr="00BE660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, </w:t>
            </w:r>
            <w:r w:rsidRPr="00BE660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and as an active, hands-on practitioner of Claude AI and Gemini AI</w:t>
            </w:r>
            <w:r w:rsidR="00CB77AD" w:rsidRPr="00BE660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,</w:t>
            </w:r>
            <w:r w:rsidRPr="00BE660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I sit at exactly the intersection your role requires: deep requirements analysis expertise combined with practical, daily use of generative AI to accelerate delivery outcomes.</w:t>
            </w:r>
          </w:p>
          <w:p w14:paraId="18DA0346" w14:textId="15CA6832" w:rsidR="00C33889" w:rsidRPr="00BE660B" w:rsidRDefault="00000000">
            <w:pPr>
              <w:spacing w:after="180"/>
              <w:jc w:val="both"/>
              <w:rPr>
                <w:color w:val="000000" w:themeColor="text1"/>
              </w:rPr>
            </w:pPr>
            <w:r w:rsidRPr="00BE660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At CRANK – No Barriers, I lead an active Claude AI integration trial across </w:t>
            </w:r>
            <w:proofErr w:type="gramStart"/>
            <w:r w:rsidRPr="00BE660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</w:t>
            </w:r>
            <w:proofErr w:type="gramEnd"/>
            <w:r w:rsidRPr="00BE660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NDIS HealthTech product</w:t>
            </w:r>
            <w:r w:rsidR="00BE660B" w:rsidRPr="00BE660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,</w:t>
            </w:r>
            <w:r w:rsidRPr="00BE660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scoping AI use cases, validating outputs against SME knowledge, and using Claude to generate process maps, user stories, and acceptance criteria at pace without sacrificing rigour. I also designed a data strategy that converts 20,000+ annual coaching hours into a proprietary AI-trainable dataset, defining the data requirements, governance rules, and success metrics end to end. At </w:t>
            </w:r>
            <w:proofErr w:type="spellStart"/>
            <w:r w:rsidRPr="00BE660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Sensys</w:t>
            </w:r>
            <w:proofErr w:type="spellEnd"/>
            <w:r w:rsidRPr="00BE660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E660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Gatso</w:t>
            </w:r>
            <w:proofErr w:type="spellEnd"/>
            <w:r w:rsidRPr="00BE660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Group, I use Gemini daily to bridge business and technical communication — turning complex multi-jurisdiction regulatory requirements into structured business rules and clear stakeholder documentation.</w:t>
            </w:r>
          </w:p>
          <w:p w14:paraId="7EBC4E45" w14:textId="59EB5EA6" w:rsidR="00C33889" w:rsidRPr="00BE660B" w:rsidRDefault="00000000">
            <w:pPr>
              <w:spacing w:after="180"/>
              <w:jc w:val="both"/>
              <w:rPr>
                <w:color w:val="000000" w:themeColor="text1"/>
              </w:rPr>
            </w:pPr>
            <w:r w:rsidRPr="00BE660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My </w:t>
            </w:r>
            <w:r w:rsidR="00BE660B" w:rsidRPr="00BE660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business analysis</w:t>
            </w:r>
            <w:r w:rsidRPr="00BE660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foundations are equally strong. Across roles at the Department of Employment and Workplace Relations (Workforce Australia), Origin Energy, Mercy Health, and Centr, I have delivered BRDs, functional specifications, process models, and agile backlogs in regulated, multi-stakeholder environments. I am experienced in BPMN process design, requirements traceability, </w:t>
            </w:r>
            <w:r w:rsidR="007A39E2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DOR/DOD</w:t>
            </w:r>
            <w:r w:rsidRPr="00BE660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ownership, </w:t>
            </w:r>
            <w:r w:rsidR="007A39E2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documentation </w:t>
            </w:r>
            <w:r w:rsidRPr="00BE660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and UAT management</w:t>
            </w:r>
            <w:r w:rsidR="00BE660B" w:rsidRPr="00BE660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, </w:t>
            </w:r>
            <w:r w:rsidRPr="00BE660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and I understand the governance disciplines that prevent AI-generated artefacts from introducing risk rather than removing it.</w:t>
            </w:r>
          </w:p>
          <w:p w14:paraId="1913B5F7" w14:textId="77777777" w:rsidR="00C33889" w:rsidRPr="00BE660B" w:rsidRDefault="00000000">
            <w:pPr>
              <w:spacing w:before="160" w:after="80"/>
              <w:rPr>
                <w:color w:val="000000" w:themeColor="text1"/>
              </w:rPr>
            </w:pPr>
            <w:r w:rsidRPr="00BE660B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What I bring to this role:</w:t>
            </w:r>
          </w:p>
          <w:p w14:paraId="243872D0" w14:textId="14AD1536" w:rsidR="00C33889" w:rsidRPr="00BE660B" w:rsidRDefault="00000000" w:rsidP="00BE660B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color w:val="000000" w:themeColor="text1"/>
              </w:rPr>
            </w:pPr>
            <w:r w:rsidRPr="00BE660B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GenAI requirements practice — </w:t>
            </w:r>
            <w:r w:rsidRPr="00BE660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using Claude and Gemini to generate and validate process maps, user stories, BRDs, and gap analyses — with human-in-the-loop review at every step</w:t>
            </w:r>
          </w:p>
          <w:p w14:paraId="2499643D" w14:textId="618DCE53" w:rsidR="00C33889" w:rsidRPr="00BE660B" w:rsidRDefault="00000000" w:rsidP="00BE660B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color w:val="000000" w:themeColor="text1"/>
              </w:rPr>
            </w:pPr>
            <w:r w:rsidRPr="00BE660B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AI governance awareness — </w:t>
            </w:r>
            <w:r w:rsidRPr="00BE660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responsible adoption frameworks, output validation protocols, data privacy discipline, and compliance-aligned disclosure practices</w:t>
            </w:r>
          </w:p>
          <w:p w14:paraId="2BA7475C" w14:textId="3036C2D0" w:rsidR="00C33889" w:rsidRPr="00BE660B" w:rsidRDefault="00000000" w:rsidP="00BE660B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color w:val="000000" w:themeColor="text1"/>
              </w:rPr>
            </w:pPr>
            <w:r w:rsidRPr="00BE660B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Regulated-environment BA depth — </w:t>
            </w:r>
            <w:proofErr w:type="spellStart"/>
            <w:r w:rsidRPr="00BE660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GovTech</w:t>
            </w:r>
            <w:proofErr w:type="spellEnd"/>
            <w:r w:rsidRPr="00BE660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, HealthTech, Energy, and Aged Care — sectors where requirements precision and audit trails are non-negotiable</w:t>
            </w:r>
          </w:p>
          <w:p w14:paraId="4B696E09" w14:textId="20A7A891" w:rsidR="00C33889" w:rsidRPr="00BE660B" w:rsidRDefault="00000000" w:rsidP="00BE660B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color w:val="000000" w:themeColor="text1"/>
              </w:rPr>
            </w:pPr>
            <w:r w:rsidRPr="00BE660B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Stakeholder communication — </w:t>
            </w:r>
            <w:r w:rsidRPr="00BE660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translating between technical and business language with clarity, whether briefing a CFO, aligning a development team, or presenting to a government client</w:t>
            </w:r>
          </w:p>
          <w:p w14:paraId="26AF3267" w14:textId="32F1F7CD" w:rsidR="00C33889" w:rsidRPr="00BE660B" w:rsidRDefault="00000000" w:rsidP="00BE660B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color w:val="000000" w:themeColor="text1"/>
              </w:rPr>
            </w:pPr>
            <w:r w:rsidRPr="00BE660B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Agile delivery integration — </w:t>
            </w:r>
            <w:r w:rsidRPr="00BE660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backlog ownership, sprint facilitation, and iteration management within Scrum, </w:t>
            </w:r>
            <w:proofErr w:type="spellStart"/>
            <w:r w:rsidRPr="00BE660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SAFe</w:t>
            </w:r>
            <w:proofErr w:type="spellEnd"/>
            <w:r w:rsidRPr="00BE660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, and Kanban frameworks</w:t>
            </w:r>
          </w:p>
          <w:p w14:paraId="2A2D58CF" w14:textId="77777777" w:rsidR="00C33889" w:rsidRPr="00BE660B" w:rsidRDefault="00000000">
            <w:pPr>
              <w:spacing w:before="200" w:after="160"/>
              <w:jc w:val="both"/>
              <w:rPr>
                <w:color w:val="000000" w:themeColor="text1"/>
              </w:rPr>
            </w:pPr>
            <w:r w:rsidRPr="00BE660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 am genuinely excited by the opportunity to apply AI not just as a productivity tool but as a strategic accelerator for better, faster, and more defensible business analysis. I would welcome the opportunity to discuss how my experience can benefit your team and organisation.</w:t>
            </w:r>
          </w:p>
          <w:p w14:paraId="28B4CA4D" w14:textId="77777777" w:rsidR="00C33889" w:rsidRPr="00BE660B" w:rsidRDefault="00000000">
            <w:pPr>
              <w:spacing w:after="300"/>
              <w:rPr>
                <w:color w:val="000000" w:themeColor="text1"/>
              </w:rPr>
            </w:pPr>
            <w:r w:rsidRPr="00BE660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Thank you for your time and consideration. I look forward to hearing from you.</w:t>
            </w:r>
          </w:p>
          <w:p w14:paraId="36477450" w14:textId="3223A7C0" w:rsidR="00C33889" w:rsidRPr="00BE660B" w:rsidRDefault="00000000" w:rsidP="00BE660B">
            <w:pPr>
              <w:spacing w:after="60"/>
              <w:rPr>
                <w:color w:val="000000" w:themeColor="text1"/>
              </w:rPr>
            </w:pPr>
            <w:r w:rsidRPr="00BE660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Yours sincerely,</w:t>
            </w:r>
            <w:r w:rsidR="00BE660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br/>
            </w:r>
            <w:r w:rsidRPr="00BE660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Glasdon Falcao</w:t>
            </w:r>
          </w:p>
          <w:p w14:paraId="6E45FC53" w14:textId="739955C0" w:rsidR="00C33889" w:rsidRPr="00BE660B" w:rsidRDefault="00C33889"/>
        </w:tc>
      </w:tr>
    </w:tbl>
    <w:p w14:paraId="7995F33D" w14:textId="77777777" w:rsidR="00DC0932" w:rsidRDefault="00DC0932"/>
    <w:sectPr w:rsidR="00DC0932">
      <w:pgSz w:w="11906" w:h="16838"/>
      <w:pgMar w:top="0" w:right="0" w:bottom="72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5E05"/>
    <w:multiLevelType w:val="hybridMultilevel"/>
    <w:tmpl w:val="73A0622E"/>
    <w:lvl w:ilvl="0" w:tplc="E67485C4">
      <w:start w:val="1"/>
      <w:numFmt w:val="bullet"/>
      <w:lvlText w:val="●"/>
      <w:lvlJc w:val="left"/>
      <w:pPr>
        <w:ind w:left="720" w:hanging="360"/>
      </w:pPr>
    </w:lvl>
    <w:lvl w:ilvl="1" w:tplc="4568318E">
      <w:start w:val="1"/>
      <w:numFmt w:val="bullet"/>
      <w:lvlText w:val="○"/>
      <w:lvlJc w:val="left"/>
      <w:pPr>
        <w:ind w:left="1440" w:hanging="360"/>
      </w:pPr>
    </w:lvl>
    <w:lvl w:ilvl="2" w:tplc="7DDCF6DE">
      <w:start w:val="1"/>
      <w:numFmt w:val="bullet"/>
      <w:lvlText w:val="■"/>
      <w:lvlJc w:val="left"/>
      <w:pPr>
        <w:ind w:left="2160" w:hanging="360"/>
      </w:pPr>
    </w:lvl>
    <w:lvl w:ilvl="3" w:tplc="47060D62">
      <w:start w:val="1"/>
      <w:numFmt w:val="bullet"/>
      <w:lvlText w:val="●"/>
      <w:lvlJc w:val="left"/>
      <w:pPr>
        <w:ind w:left="2880" w:hanging="360"/>
      </w:pPr>
    </w:lvl>
    <w:lvl w:ilvl="4" w:tplc="B82E34D4">
      <w:start w:val="1"/>
      <w:numFmt w:val="bullet"/>
      <w:lvlText w:val="○"/>
      <w:lvlJc w:val="left"/>
      <w:pPr>
        <w:ind w:left="3600" w:hanging="360"/>
      </w:pPr>
    </w:lvl>
    <w:lvl w:ilvl="5" w:tplc="1B1C78B2">
      <w:start w:val="1"/>
      <w:numFmt w:val="bullet"/>
      <w:lvlText w:val="■"/>
      <w:lvlJc w:val="left"/>
      <w:pPr>
        <w:ind w:left="4320" w:hanging="360"/>
      </w:pPr>
    </w:lvl>
    <w:lvl w:ilvl="6" w:tplc="CF00C7B2">
      <w:start w:val="1"/>
      <w:numFmt w:val="bullet"/>
      <w:lvlText w:val="●"/>
      <w:lvlJc w:val="left"/>
      <w:pPr>
        <w:ind w:left="5040" w:hanging="360"/>
      </w:pPr>
    </w:lvl>
    <w:lvl w:ilvl="7" w:tplc="9B56DEFE">
      <w:start w:val="1"/>
      <w:numFmt w:val="bullet"/>
      <w:lvlText w:val="●"/>
      <w:lvlJc w:val="left"/>
      <w:pPr>
        <w:ind w:left="5760" w:hanging="360"/>
      </w:pPr>
    </w:lvl>
    <w:lvl w:ilvl="8" w:tplc="4B128AB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D1F5546"/>
    <w:multiLevelType w:val="hybridMultilevel"/>
    <w:tmpl w:val="1F74E6BE"/>
    <w:lvl w:ilvl="0" w:tplc="3B7C75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7AAED6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93660"/>
    <w:multiLevelType w:val="hybridMultilevel"/>
    <w:tmpl w:val="E8047D8C"/>
    <w:lvl w:ilvl="0" w:tplc="E360901C">
      <w:numFmt w:val="bullet"/>
      <w:lvlText w:val="-"/>
      <w:lvlJc w:val="left"/>
      <w:pPr>
        <w:ind w:left="440" w:hanging="360"/>
      </w:pPr>
      <w:rPr>
        <w:rFonts w:ascii="Calibri" w:eastAsia="Calibri" w:hAnsi="Calibri" w:cs="Calibri" w:hint="default"/>
        <w:b/>
        <w:color w:val="1B3A6B"/>
        <w:sz w:val="21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 w16cid:durableId="1526600063">
    <w:abstractNumId w:val="0"/>
    <w:lvlOverride w:ilvl="0">
      <w:startOverride w:val="1"/>
    </w:lvlOverride>
  </w:num>
  <w:num w:numId="2" w16cid:durableId="1403454012">
    <w:abstractNumId w:val="2"/>
  </w:num>
  <w:num w:numId="3" w16cid:durableId="593902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889"/>
    <w:rsid w:val="00145631"/>
    <w:rsid w:val="0032407A"/>
    <w:rsid w:val="0057695B"/>
    <w:rsid w:val="007A39E2"/>
    <w:rsid w:val="00991045"/>
    <w:rsid w:val="00AB741B"/>
    <w:rsid w:val="00BE660B"/>
    <w:rsid w:val="00C33889"/>
    <w:rsid w:val="00CB77AD"/>
    <w:rsid w:val="00DC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B2531B"/>
  <w15:docId w15:val="{DBDA97D7-617F-F246-BA34-C59A497E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444</Words>
  <Characters>2716</Characters>
  <Application>Microsoft Office Word</Application>
  <DocSecurity>0</DocSecurity>
  <Lines>40</Lines>
  <Paragraphs>22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Glasdon Walter Falcao</cp:lastModifiedBy>
  <cp:revision>9</cp:revision>
  <dcterms:created xsi:type="dcterms:W3CDTF">2026-05-28T01:43:00Z</dcterms:created>
  <dcterms:modified xsi:type="dcterms:W3CDTF">2026-05-28T02:49:00Z</dcterms:modified>
</cp:coreProperties>
</file>